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213A" w14:textId="0210FFCF" w:rsidR="004A013F" w:rsidRPr="006131B8" w:rsidRDefault="00A34677" w:rsidP="00A34677">
      <w:pPr>
        <w:jc w:val="center"/>
        <w:rPr>
          <w:rFonts w:ascii="Calibri" w:hAnsi="Calibri" w:cs="Calibri"/>
          <w:b/>
          <w:bCs/>
          <w:i/>
          <w:iCs/>
          <w:sz w:val="24"/>
          <w:szCs w:val="24"/>
        </w:rPr>
      </w:pPr>
      <w:r w:rsidRPr="00974E60">
        <w:rPr>
          <w:rFonts w:ascii="Calibri" w:hAnsi="Calibri" w:cs="Calibri"/>
          <w:b/>
          <w:bCs/>
          <w:sz w:val="24"/>
          <w:szCs w:val="24"/>
        </w:rPr>
        <w:t xml:space="preserve">Advocates for Community Health – Summary of the </w:t>
      </w:r>
      <w:r w:rsidRPr="006131B8">
        <w:rPr>
          <w:rFonts w:ascii="Calibri" w:hAnsi="Calibri" w:cs="Calibri"/>
          <w:b/>
          <w:bCs/>
          <w:i/>
          <w:iCs/>
          <w:sz w:val="24"/>
          <w:szCs w:val="24"/>
        </w:rPr>
        <w:t>340B Access Act</w:t>
      </w:r>
    </w:p>
    <w:p w14:paraId="4D2B6506" w14:textId="0B2E3DEC" w:rsidR="00A34677" w:rsidRPr="00974E60" w:rsidRDefault="00A34677" w:rsidP="00974E60">
      <w:pPr>
        <w:rPr>
          <w:rStyle w:val="m-8706867726275688252apple-converted-space"/>
          <w:rFonts w:ascii="Calibri" w:hAnsi="Calibri" w:cs="Calibri"/>
          <w:sz w:val="24"/>
          <w:szCs w:val="24"/>
        </w:rPr>
      </w:pPr>
      <w:r w:rsidRPr="00974E60">
        <w:rPr>
          <w:rStyle w:val="m-8706867726275688252apple-converted-space"/>
          <w:rFonts w:ascii="Calibri" w:hAnsi="Calibri" w:cs="Calibri"/>
          <w:color w:val="212121"/>
          <w:sz w:val="24"/>
          <w:szCs w:val="24"/>
        </w:rPr>
        <w:t>U.S. </w:t>
      </w:r>
      <w:r w:rsidRPr="00974E60">
        <w:rPr>
          <w:rFonts w:ascii="Calibri" w:hAnsi="Calibri" w:cs="Calibri"/>
          <w:color w:val="000000"/>
          <w:sz w:val="24"/>
          <w:szCs w:val="24"/>
        </w:rPr>
        <w:t>Representatives</w:t>
      </w:r>
      <w:r w:rsidRPr="00974E60">
        <w:rPr>
          <w:rStyle w:val="m-8706867726275688252apple-converted-space"/>
          <w:rFonts w:ascii="Calibri" w:hAnsi="Calibri" w:cs="Calibri"/>
          <w:color w:val="000000"/>
          <w:sz w:val="24"/>
          <w:szCs w:val="24"/>
        </w:rPr>
        <w:t> </w:t>
      </w:r>
      <w:r w:rsidRPr="00974E60">
        <w:rPr>
          <w:rFonts w:ascii="Calibri" w:hAnsi="Calibri" w:cs="Calibri"/>
          <w:color w:val="000000"/>
          <w:sz w:val="24"/>
          <w:szCs w:val="24"/>
        </w:rPr>
        <w:t xml:space="preserve">Larry Bucshon, MD (R-IN-08), Buddy Carter (R-GA-01), and Diana Harshbarger (R-TN-01) introduced the </w:t>
      </w:r>
      <w:r w:rsidRPr="00974E60">
        <w:rPr>
          <w:rFonts w:ascii="Calibri" w:hAnsi="Calibri" w:cs="Calibri"/>
          <w:i/>
          <w:iCs/>
          <w:color w:val="000000"/>
          <w:sz w:val="24"/>
          <w:szCs w:val="24"/>
        </w:rPr>
        <w:t>340B Affording Care for Communities and Ensuring a Strong Safety-Net Act</w:t>
      </w:r>
      <w:r w:rsidRPr="00974E60">
        <w:rPr>
          <w:rStyle w:val="m-8706867726275688252apple-converted-space"/>
          <w:rFonts w:ascii="Calibri" w:hAnsi="Calibri" w:cs="Calibri"/>
          <w:color w:val="000000"/>
          <w:sz w:val="24"/>
          <w:szCs w:val="24"/>
        </w:rPr>
        <w:t> (</w:t>
      </w:r>
      <w:r w:rsidRPr="00974E60">
        <w:rPr>
          <w:rFonts w:ascii="Calibri" w:hAnsi="Calibri" w:cs="Calibri"/>
          <w:i/>
          <w:iCs/>
          <w:color w:val="000000"/>
          <w:sz w:val="24"/>
          <w:szCs w:val="24"/>
        </w:rPr>
        <w:t>340B ACCESS Act)</w:t>
      </w:r>
      <w:r w:rsidRPr="00974E60">
        <w:rPr>
          <w:rFonts w:ascii="Calibri" w:hAnsi="Calibri" w:cs="Calibri"/>
          <w:color w:val="000000"/>
          <w:sz w:val="24"/>
          <w:szCs w:val="24"/>
        </w:rPr>
        <w:t xml:space="preserve"> on May 28, 2024</w:t>
      </w:r>
      <w:r w:rsidR="00974E60" w:rsidRPr="00974E60">
        <w:rPr>
          <w:rFonts w:ascii="Calibri" w:hAnsi="Calibri" w:cs="Calibri"/>
          <w:color w:val="000000"/>
          <w:sz w:val="24"/>
          <w:szCs w:val="24"/>
        </w:rPr>
        <w:t xml:space="preserve">. </w:t>
      </w:r>
      <w:r w:rsidRPr="00974E60">
        <w:rPr>
          <w:rFonts w:ascii="Calibri" w:hAnsi="Calibri" w:cs="Calibri"/>
          <w:color w:val="000000"/>
          <w:sz w:val="24"/>
          <w:szCs w:val="24"/>
        </w:rPr>
        <w:t>The Representatives stated that they introduced the bill to provide “critical oversight and transparency of the 340B program</w:t>
      </w:r>
      <w:r w:rsidR="00974E60" w:rsidRPr="00974E60">
        <w:rPr>
          <w:rFonts w:ascii="Calibri" w:hAnsi="Calibri" w:cs="Calibri"/>
          <w:color w:val="000000"/>
          <w:sz w:val="24"/>
          <w:szCs w:val="24"/>
        </w:rPr>
        <w:t>.</w:t>
      </w:r>
      <w:r w:rsidRPr="00974E60">
        <w:rPr>
          <w:rFonts w:ascii="Calibri" w:hAnsi="Calibri" w:cs="Calibri"/>
          <w:color w:val="000000"/>
          <w:sz w:val="24"/>
          <w:szCs w:val="24"/>
        </w:rPr>
        <w:t>”</w:t>
      </w:r>
      <w:r w:rsidRPr="00974E60">
        <w:rPr>
          <w:rFonts w:ascii="Calibri" w:hAnsi="Calibri" w:cs="Calibri"/>
          <w:color w:val="212121"/>
          <w:sz w:val="24"/>
          <w:szCs w:val="24"/>
        </w:rPr>
        <w:t xml:space="preserve">  </w:t>
      </w:r>
      <w:r w:rsidR="00E6106D">
        <w:rPr>
          <w:rStyle w:val="m-8706867726275688252apple-converted-space"/>
          <w:rFonts w:ascii="Calibri" w:hAnsi="Calibri" w:cs="Calibri"/>
          <w:color w:val="212121"/>
          <w:sz w:val="24"/>
          <w:szCs w:val="24"/>
        </w:rPr>
        <w:t>Below is a brief summary of Advocates for Community Health’s initial review of the legislation</w:t>
      </w:r>
      <w:r w:rsidR="006131B8">
        <w:rPr>
          <w:rStyle w:val="m-8706867726275688252apple-converted-space"/>
          <w:rFonts w:ascii="Calibri" w:hAnsi="Calibri" w:cs="Calibri"/>
          <w:color w:val="212121"/>
          <w:sz w:val="24"/>
          <w:szCs w:val="24"/>
        </w:rPr>
        <w:t xml:space="preserve"> – key provisions and our takeaway. This document is subject to change upon additional legal review. </w:t>
      </w:r>
    </w:p>
    <w:p w14:paraId="7C4218DA" w14:textId="183E2F1D" w:rsidR="00A34677" w:rsidRPr="00974E60" w:rsidRDefault="00A34677" w:rsidP="00A34677">
      <w:pPr>
        <w:rPr>
          <w:rFonts w:ascii="Calibri" w:hAnsi="Calibri" w:cs="Calibri"/>
          <w:sz w:val="24"/>
          <w:szCs w:val="24"/>
          <w:u w:val="single"/>
        </w:rPr>
      </w:pPr>
      <w:r w:rsidRPr="00974E60">
        <w:rPr>
          <w:rFonts w:ascii="Calibri" w:hAnsi="Calibri" w:cs="Calibri"/>
          <w:sz w:val="24"/>
          <w:szCs w:val="24"/>
          <w:u w:val="single"/>
        </w:rPr>
        <w:t xml:space="preserve">Patient Definition </w:t>
      </w:r>
    </w:p>
    <w:p w14:paraId="7BF3D798" w14:textId="1CDE440B" w:rsidR="00A34677" w:rsidRPr="00974E60" w:rsidRDefault="00A34677" w:rsidP="00A34677">
      <w:pPr>
        <w:pStyle w:val="ListParagraph"/>
        <w:numPr>
          <w:ilvl w:val="0"/>
          <w:numId w:val="2"/>
        </w:numPr>
        <w:rPr>
          <w:rFonts w:ascii="Calibri" w:hAnsi="Calibri" w:cs="Calibri"/>
          <w:sz w:val="24"/>
          <w:szCs w:val="24"/>
        </w:rPr>
      </w:pPr>
      <w:r w:rsidRPr="00974E60">
        <w:rPr>
          <w:rFonts w:ascii="Calibri" w:hAnsi="Calibri" w:cs="Calibri"/>
          <w:sz w:val="24"/>
          <w:szCs w:val="24"/>
        </w:rPr>
        <w:t xml:space="preserve">The bill codifies the patient definition as a “prescription by prescription” mechanism </w:t>
      </w:r>
    </w:p>
    <w:p w14:paraId="231DEF59" w14:textId="4494B8A5" w:rsidR="00A34677" w:rsidRPr="00974E60" w:rsidRDefault="00A34677" w:rsidP="00A34677">
      <w:pPr>
        <w:pStyle w:val="ListParagraph"/>
        <w:numPr>
          <w:ilvl w:val="0"/>
          <w:numId w:val="2"/>
        </w:numPr>
        <w:rPr>
          <w:rFonts w:ascii="Calibri" w:hAnsi="Calibri" w:cs="Calibri"/>
          <w:sz w:val="24"/>
          <w:szCs w:val="24"/>
        </w:rPr>
      </w:pPr>
      <w:r w:rsidRPr="00974E60">
        <w:rPr>
          <w:rFonts w:ascii="Calibri" w:hAnsi="Calibri" w:cs="Calibri"/>
          <w:sz w:val="24"/>
          <w:szCs w:val="24"/>
        </w:rPr>
        <w:t>Requires that drugs must be dispensed or ordered at the covered entity (CE) location, “as a result of” a service provided by the entity within the scope of the grant that qualifies it for 340B, and the entity must have auditable records EXCEPT in the case of qualifying referrals</w:t>
      </w:r>
    </w:p>
    <w:p w14:paraId="562BACBE" w14:textId="77777777" w:rsidR="00A34677" w:rsidRPr="00974E60" w:rsidRDefault="00A34677" w:rsidP="006B70C8">
      <w:pPr>
        <w:pStyle w:val="ListParagraph"/>
        <w:numPr>
          <w:ilvl w:val="1"/>
          <w:numId w:val="3"/>
        </w:numPr>
        <w:spacing w:after="3" w:line="264" w:lineRule="auto"/>
        <w:ind w:hanging="360"/>
        <w:rPr>
          <w:rFonts w:ascii="Calibri" w:hAnsi="Calibri" w:cs="Calibri"/>
          <w:sz w:val="24"/>
          <w:szCs w:val="24"/>
        </w:rPr>
      </w:pPr>
      <w:r w:rsidRPr="005B4E84">
        <w:rPr>
          <w:rFonts w:ascii="Calibri" w:hAnsi="Calibri" w:cs="Calibri"/>
          <w:b/>
          <w:bCs/>
          <w:i/>
          <w:iCs/>
          <w:sz w:val="24"/>
          <w:szCs w:val="24"/>
        </w:rPr>
        <w:t>Qualifying referrals</w:t>
      </w:r>
      <w:r w:rsidRPr="00974E60">
        <w:rPr>
          <w:rFonts w:ascii="Calibri" w:hAnsi="Calibri" w:cs="Calibri"/>
          <w:sz w:val="24"/>
          <w:szCs w:val="24"/>
        </w:rPr>
        <w:t xml:space="preserve"> occur when:</w:t>
      </w:r>
    </w:p>
    <w:p w14:paraId="1CC9365C" w14:textId="56069915" w:rsidR="00A34677" w:rsidRPr="00974E60" w:rsidRDefault="00A34677" w:rsidP="006B70C8">
      <w:pPr>
        <w:pStyle w:val="ListParagraph"/>
        <w:numPr>
          <w:ilvl w:val="1"/>
          <w:numId w:val="3"/>
        </w:numPr>
        <w:spacing w:after="3" w:line="264" w:lineRule="auto"/>
        <w:ind w:hanging="360"/>
        <w:rPr>
          <w:rFonts w:ascii="Calibri" w:hAnsi="Calibri" w:cs="Calibri"/>
          <w:sz w:val="24"/>
          <w:szCs w:val="24"/>
        </w:rPr>
      </w:pPr>
      <w:r w:rsidRPr="00974E60">
        <w:rPr>
          <w:rFonts w:ascii="Calibri" w:hAnsi="Calibri" w:cs="Calibri"/>
          <w:sz w:val="24"/>
          <w:szCs w:val="24"/>
        </w:rPr>
        <w:t xml:space="preserve"> a CE provider evaluates and recommends, during an in-person encounter at the CE site, that they received a specific type of service not provided at the CE, and this is “contemporaneously documented”</w:t>
      </w:r>
    </w:p>
    <w:p w14:paraId="5A74BBB2" w14:textId="7A189997" w:rsidR="00A34677" w:rsidRPr="00974E60" w:rsidRDefault="00A34677" w:rsidP="006B70C8">
      <w:pPr>
        <w:pStyle w:val="ListParagraph"/>
        <w:numPr>
          <w:ilvl w:val="1"/>
          <w:numId w:val="3"/>
        </w:numPr>
        <w:spacing w:after="3" w:line="264" w:lineRule="auto"/>
        <w:ind w:hanging="360"/>
        <w:rPr>
          <w:rFonts w:ascii="Calibri" w:hAnsi="Calibri" w:cs="Calibri"/>
          <w:sz w:val="24"/>
          <w:szCs w:val="24"/>
        </w:rPr>
      </w:pPr>
      <w:r w:rsidRPr="00974E60">
        <w:rPr>
          <w:rFonts w:ascii="Calibri" w:hAnsi="Calibri" w:cs="Calibri"/>
          <w:sz w:val="24"/>
          <w:szCs w:val="24"/>
        </w:rPr>
        <w:t xml:space="preserve">Individual receives the service within 1 year of referral </w:t>
      </w:r>
    </w:p>
    <w:p w14:paraId="4B518D2E" w14:textId="77777777" w:rsidR="00A34677" w:rsidRPr="00974E60" w:rsidRDefault="00A34677" w:rsidP="00A34677">
      <w:pPr>
        <w:numPr>
          <w:ilvl w:val="1"/>
          <w:numId w:val="3"/>
        </w:numPr>
        <w:spacing w:after="3" w:line="264" w:lineRule="auto"/>
        <w:ind w:hanging="360"/>
        <w:rPr>
          <w:rFonts w:ascii="Calibri" w:hAnsi="Calibri" w:cs="Calibri"/>
          <w:sz w:val="24"/>
          <w:szCs w:val="24"/>
        </w:rPr>
      </w:pPr>
      <w:r w:rsidRPr="00974E60">
        <w:rPr>
          <w:rFonts w:ascii="Calibri" w:hAnsi="Calibri" w:cs="Calibri"/>
          <w:sz w:val="24"/>
          <w:szCs w:val="24"/>
        </w:rPr>
        <w:t xml:space="preserve">CE must receive written documentation of the services provided and diagnoses received connected to the prescription </w:t>
      </w:r>
    </w:p>
    <w:p w14:paraId="12A1FEAC" w14:textId="77777777" w:rsidR="00A34677" w:rsidRDefault="00A34677" w:rsidP="00A34677">
      <w:pPr>
        <w:numPr>
          <w:ilvl w:val="1"/>
          <w:numId w:val="3"/>
        </w:numPr>
        <w:spacing w:after="3" w:line="264" w:lineRule="auto"/>
        <w:ind w:hanging="360"/>
        <w:rPr>
          <w:rFonts w:ascii="Calibri" w:hAnsi="Calibri" w:cs="Calibri"/>
          <w:sz w:val="24"/>
          <w:szCs w:val="24"/>
        </w:rPr>
      </w:pPr>
      <w:r w:rsidRPr="00974E60">
        <w:rPr>
          <w:rFonts w:ascii="Calibri" w:hAnsi="Calibri" w:cs="Calibri"/>
          <w:sz w:val="24"/>
          <w:szCs w:val="24"/>
        </w:rPr>
        <w:t xml:space="preserve">CE retains overall responsibility for the care of the individual </w:t>
      </w:r>
    </w:p>
    <w:p w14:paraId="39D6706A" w14:textId="77777777" w:rsidR="00974E60" w:rsidRDefault="00974E60" w:rsidP="00974E60">
      <w:pPr>
        <w:spacing w:after="3" w:line="264" w:lineRule="auto"/>
        <w:rPr>
          <w:rFonts w:ascii="Calibri" w:hAnsi="Calibri" w:cs="Calibri"/>
          <w:sz w:val="24"/>
          <w:szCs w:val="24"/>
        </w:rPr>
      </w:pPr>
    </w:p>
    <w:p w14:paraId="54383C23" w14:textId="06EBE43C" w:rsidR="00974E60" w:rsidRPr="00974E60" w:rsidRDefault="00974E60" w:rsidP="00974E60">
      <w:pPr>
        <w:spacing w:after="3" w:line="264" w:lineRule="auto"/>
        <w:rPr>
          <w:rFonts w:ascii="Calibri" w:hAnsi="Calibri" w:cs="Calibri"/>
          <w:b/>
          <w:bCs/>
          <w:sz w:val="24"/>
          <w:szCs w:val="24"/>
        </w:rPr>
      </w:pPr>
      <w:r w:rsidRPr="00974E60">
        <w:rPr>
          <w:rFonts w:ascii="Calibri" w:hAnsi="Calibri" w:cs="Calibri"/>
          <w:b/>
          <w:bCs/>
          <w:sz w:val="24"/>
          <w:szCs w:val="24"/>
        </w:rPr>
        <w:t xml:space="preserve">These types of limitations on who can be defined as a patient of a health center are administratively unworkable and severely limit health centers’ ability to derive value from the program. </w:t>
      </w:r>
    </w:p>
    <w:p w14:paraId="3C900E2C" w14:textId="77777777" w:rsidR="00A34677" w:rsidRPr="00974E60" w:rsidRDefault="00A34677" w:rsidP="00A34677">
      <w:pPr>
        <w:spacing w:after="3" w:line="264" w:lineRule="auto"/>
        <w:rPr>
          <w:rFonts w:ascii="Calibri" w:hAnsi="Calibri" w:cs="Calibri"/>
          <w:sz w:val="24"/>
          <w:szCs w:val="24"/>
        </w:rPr>
      </w:pPr>
    </w:p>
    <w:p w14:paraId="2BEF6CC9" w14:textId="3D4646A6" w:rsidR="00A34677" w:rsidRPr="00974E60" w:rsidRDefault="00A34677" w:rsidP="00A34677">
      <w:pPr>
        <w:spacing w:after="3" w:line="264" w:lineRule="auto"/>
        <w:rPr>
          <w:rFonts w:ascii="Calibri" w:hAnsi="Calibri" w:cs="Calibri"/>
          <w:sz w:val="24"/>
          <w:szCs w:val="24"/>
          <w:u w:val="single"/>
        </w:rPr>
      </w:pPr>
      <w:r w:rsidRPr="00974E60">
        <w:rPr>
          <w:rFonts w:ascii="Calibri" w:hAnsi="Calibri" w:cs="Calibri"/>
          <w:sz w:val="24"/>
          <w:szCs w:val="24"/>
          <w:u w:val="single"/>
        </w:rPr>
        <w:t xml:space="preserve">Contract Pharmacy </w:t>
      </w:r>
    </w:p>
    <w:p w14:paraId="718DE3D9" w14:textId="593F7710" w:rsidR="00A34677" w:rsidRPr="00974E60" w:rsidRDefault="00A34677" w:rsidP="00A34677">
      <w:pPr>
        <w:numPr>
          <w:ilvl w:val="0"/>
          <w:numId w:val="3"/>
        </w:numPr>
        <w:spacing w:after="0" w:line="264" w:lineRule="auto"/>
        <w:ind w:hanging="360"/>
        <w:rPr>
          <w:rFonts w:ascii="Calibri" w:hAnsi="Calibri" w:cs="Calibri"/>
          <w:sz w:val="24"/>
          <w:szCs w:val="24"/>
        </w:rPr>
      </w:pPr>
      <w:r w:rsidRPr="00974E60">
        <w:rPr>
          <w:rFonts w:ascii="Calibri" w:hAnsi="Calibri" w:cs="Calibri"/>
          <w:sz w:val="24"/>
          <w:szCs w:val="24"/>
        </w:rPr>
        <w:t>Technically permits FQHCs and other grantees to use contract pharmacies registered with HHS that are located within an area that loosely overlaps (but may not be identical with, or fully cover, their BPHC-approved service area</w:t>
      </w:r>
      <w:r w:rsidR="00974E60">
        <w:rPr>
          <w:rFonts w:ascii="Calibri" w:hAnsi="Calibri" w:cs="Calibri"/>
          <w:sz w:val="24"/>
          <w:szCs w:val="24"/>
        </w:rPr>
        <w:t>)</w:t>
      </w:r>
    </w:p>
    <w:p w14:paraId="507D6444" w14:textId="47BBF7C6" w:rsidR="00A34677" w:rsidRPr="00974E60" w:rsidRDefault="00A34677" w:rsidP="00A34677">
      <w:pPr>
        <w:numPr>
          <w:ilvl w:val="0"/>
          <w:numId w:val="3"/>
        </w:numPr>
        <w:spacing w:after="0" w:line="264" w:lineRule="auto"/>
        <w:ind w:hanging="360"/>
        <w:rPr>
          <w:rFonts w:ascii="Calibri" w:hAnsi="Calibri" w:cs="Calibri"/>
          <w:sz w:val="24"/>
          <w:szCs w:val="24"/>
        </w:rPr>
      </w:pPr>
      <w:r w:rsidRPr="00974E60">
        <w:rPr>
          <w:rFonts w:ascii="Calibri" w:hAnsi="Calibri" w:cs="Calibri"/>
          <w:sz w:val="24"/>
          <w:szCs w:val="24"/>
        </w:rPr>
        <w:t>This area is defined as “the public use microdata area</w:t>
      </w:r>
      <w:r w:rsidR="005B4E84">
        <w:rPr>
          <w:rFonts w:ascii="Calibri" w:hAnsi="Calibri" w:cs="Calibri"/>
          <w:sz w:val="24"/>
          <w:szCs w:val="24"/>
        </w:rPr>
        <w:t>” (PUMA)</w:t>
      </w:r>
      <w:r w:rsidRPr="00974E60">
        <w:rPr>
          <w:rFonts w:ascii="Calibri" w:hAnsi="Calibri" w:cs="Calibri"/>
          <w:sz w:val="24"/>
          <w:szCs w:val="24"/>
        </w:rPr>
        <w:t xml:space="preserve"> in which such entity is located and up to 3 additional public use microdata areas that are contiguous with the public use microdata area in which the entity is located”</w:t>
      </w:r>
    </w:p>
    <w:p w14:paraId="757C740B" w14:textId="39E88BE5" w:rsidR="00A34677" w:rsidRPr="00974E60" w:rsidRDefault="00A34677" w:rsidP="00A34677">
      <w:pPr>
        <w:numPr>
          <w:ilvl w:val="0"/>
          <w:numId w:val="3"/>
        </w:numPr>
        <w:spacing w:after="3" w:line="264" w:lineRule="auto"/>
        <w:ind w:hanging="360"/>
        <w:rPr>
          <w:rFonts w:ascii="Calibri" w:hAnsi="Calibri" w:cs="Calibri"/>
          <w:sz w:val="24"/>
          <w:szCs w:val="24"/>
        </w:rPr>
      </w:pPr>
      <w:r w:rsidRPr="00974E60">
        <w:rPr>
          <w:rFonts w:ascii="Calibri" w:hAnsi="Calibri" w:cs="Calibri"/>
          <w:sz w:val="24"/>
          <w:szCs w:val="24"/>
        </w:rPr>
        <w:t xml:space="preserve">New civil monetary penalties ($13,946 </w:t>
      </w:r>
      <w:r w:rsidR="00974E60" w:rsidRPr="00974E60">
        <w:rPr>
          <w:rFonts w:ascii="Calibri" w:hAnsi="Calibri" w:cs="Calibri"/>
          <w:sz w:val="24"/>
          <w:szCs w:val="24"/>
        </w:rPr>
        <w:t>for each claim</w:t>
      </w:r>
      <w:r w:rsidRPr="00974E60">
        <w:rPr>
          <w:rFonts w:ascii="Calibri" w:hAnsi="Calibri" w:cs="Calibri"/>
          <w:sz w:val="24"/>
          <w:szCs w:val="24"/>
        </w:rPr>
        <w:t xml:space="preserve">) for not abiding by CP rules </w:t>
      </w:r>
    </w:p>
    <w:p w14:paraId="427CC70D" w14:textId="77777777" w:rsidR="00A34677" w:rsidRPr="00974E60" w:rsidRDefault="00A34677" w:rsidP="00A34677">
      <w:pPr>
        <w:numPr>
          <w:ilvl w:val="0"/>
          <w:numId w:val="3"/>
        </w:numPr>
        <w:spacing w:after="0" w:line="264" w:lineRule="auto"/>
        <w:ind w:hanging="360"/>
        <w:rPr>
          <w:rFonts w:ascii="Calibri" w:hAnsi="Calibri" w:cs="Calibri"/>
          <w:sz w:val="24"/>
          <w:szCs w:val="24"/>
        </w:rPr>
      </w:pPr>
      <w:r w:rsidRPr="00974E60">
        <w:rPr>
          <w:rFonts w:ascii="Calibri" w:hAnsi="Calibri" w:cs="Calibri"/>
          <w:sz w:val="24"/>
          <w:szCs w:val="24"/>
        </w:rPr>
        <w:t xml:space="preserve">Mail-order pharmacies are allowed for CHCs, as long as the patient resides within the CHC’s service area. </w:t>
      </w:r>
    </w:p>
    <w:p w14:paraId="6E997661" w14:textId="21657396" w:rsidR="00A34677" w:rsidRDefault="00A34677" w:rsidP="00A34677">
      <w:pPr>
        <w:numPr>
          <w:ilvl w:val="0"/>
          <w:numId w:val="3"/>
        </w:numPr>
        <w:spacing w:after="0" w:line="264" w:lineRule="auto"/>
        <w:ind w:hanging="360"/>
        <w:rPr>
          <w:rFonts w:ascii="Calibri" w:hAnsi="Calibri" w:cs="Calibri"/>
          <w:sz w:val="24"/>
          <w:szCs w:val="24"/>
        </w:rPr>
      </w:pPr>
      <w:r w:rsidRPr="00974E60">
        <w:rPr>
          <w:rFonts w:ascii="Calibri" w:hAnsi="Calibri" w:cs="Calibri"/>
          <w:sz w:val="24"/>
          <w:szCs w:val="24"/>
        </w:rPr>
        <w:t xml:space="preserve">Language is unclear regarding CHCs’ ability to obtain 340B-priced specialty drugs at out-of-area contract pharmacies. </w:t>
      </w:r>
    </w:p>
    <w:p w14:paraId="049C36D8" w14:textId="77777777" w:rsidR="00974E60" w:rsidRDefault="00974E60" w:rsidP="00974E60">
      <w:pPr>
        <w:spacing w:after="0" w:line="264" w:lineRule="auto"/>
        <w:ind w:left="705"/>
        <w:rPr>
          <w:rFonts w:ascii="Calibri" w:hAnsi="Calibri" w:cs="Calibri"/>
          <w:sz w:val="24"/>
          <w:szCs w:val="24"/>
        </w:rPr>
      </w:pPr>
    </w:p>
    <w:p w14:paraId="751EC7F8" w14:textId="073B3002" w:rsidR="00974E60" w:rsidRPr="00974E60" w:rsidRDefault="00974E60" w:rsidP="0054721C">
      <w:pPr>
        <w:spacing w:after="3" w:line="264" w:lineRule="auto"/>
        <w:rPr>
          <w:rFonts w:ascii="Calibri" w:hAnsi="Calibri" w:cs="Calibri"/>
          <w:sz w:val="24"/>
          <w:szCs w:val="24"/>
        </w:rPr>
      </w:pPr>
      <w:r w:rsidRPr="00974E60">
        <w:rPr>
          <w:rFonts w:ascii="Calibri" w:hAnsi="Calibri" w:cs="Calibri"/>
          <w:b/>
          <w:bCs/>
          <w:sz w:val="24"/>
          <w:szCs w:val="24"/>
        </w:rPr>
        <w:t xml:space="preserve">These limitations </w:t>
      </w:r>
      <w:r>
        <w:rPr>
          <w:rFonts w:ascii="Calibri" w:hAnsi="Calibri" w:cs="Calibri"/>
          <w:b/>
          <w:bCs/>
          <w:sz w:val="24"/>
          <w:szCs w:val="24"/>
        </w:rPr>
        <w:t xml:space="preserve">will limit patient access to affordable medications, create new rules that are not in alignment with HRSA regulation, and </w:t>
      </w:r>
      <w:r w:rsidR="0054721C">
        <w:rPr>
          <w:rFonts w:ascii="Calibri" w:hAnsi="Calibri" w:cs="Calibri"/>
          <w:b/>
          <w:bCs/>
          <w:sz w:val="24"/>
          <w:szCs w:val="24"/>
        </w:rPr>
        <w:t xml:space="preserve">further reduce the value of the 340B program. </w:t>
      </w:r>
    </w:p>
    <w:p w14:paraId="71482079" w14:textId="77777777" w:rsidR="00A34677" w:rsidRPr="00974E60" w:rsidRDefault="00A34677" w:rsidP="00A34677">
      <w:pPr>
        <w:spacing w:after="3" w:line="264" w:lineRule="auto"/>
        <w:rPr>
          <w:rFonts w:ascii="Calibri" w:hAnsi="Calibri" w:cs="Calibri"/>
          <w:bCs/>
          <w:sz w:val="24"/>
          <w:szCs w:val="24"/>
          <w:u w:val="single"/>
        </w:rPr>
      </w:pPr>
    </w:p>
    <w:p w14:paraId="145017A4" w14:textId="4728114C" w:rsidR="00A34677" w:rsidRPr="00974E60" w:rsidRDefault="00E243D6" w:rsidP="00A34677">
      <w:pPr>
        <w:spacing w:after="147"/>
        <w:rPr>
          <w:rFonts w:ascii="Calibri" w:hAnsi="Calibri" w:cs="Calibri"/>
          <w:bCs/>
          <w:sz w:val="24"/>
          <w:szCs w:val="24"/>
          <w:u w:val="single"/>
        </w:rPr>
      </w:pPr>
      <w:r w:rsidRPr="00974E60">
        <w:rPr>
          <w:rFonts w:ascii="Calibri" w:hAnsi="Calibri" w:cs="Calibri"/>
          <w:bCs/>
          <w:sz w:val="24"/>
          <w:szCs w:val="24"/>
          <w:u w:val="single"/>
        </w:rPr>
        <w:t>Limitations on</w:t>
      </w:r>
      <w:r w:rsidR="00A34677" w:rsidRPr="00974E60">
        <w:rPr>
          <w:rFonts w:ascii="Calibri" w:hAnsi="Calibri" w:cs="Calibri"/>
          <w:bCs/>
          <w:sz w:val="24"/>
          <w:szCs w:val="24"/>
          <w:u w:val="single"/>
        </w:rPr>
        <w:t xml:space="preserve"> </w:t>
      </w:r>
      <w:r w:rsidRPr="00974E60">
        <w:rPr>
          <w:rFonts w:ascii="Calibri" w:hAnsi="Calibri" w:cs="Calibri"/>
          <w:bCs/>
          <w:sz w:val="24"/>
          <w:szCs w:val="24"/>
          <w:u w:val="single"/>
        </w:rPr>
        <w:t xml:space="preserve">Certain </w:t>
      </w:r>
      <w:r w:rsidR="00A34677" w:rsidRPr="00974E60">
        <w:rPr>
          <w:rFonts w:ascii="Calibri" w:hAnsi="Calibri" w:cs="Calibri"/>
          <w:bCs/>
          <w:sz w:val="24"/>
          <w:szCs w:val="24"/>
          <w:u w:val="single"/>
        </w:rPr>
        <w:t xml:space="preserve">CHCs </w:t>
      </w:r>
    </w:p>
    <w:p w14:paraId="185407BD" w14:textId="77777777" w:rsidR="00E243D6" w:rsidRPr="00974E60" w:rsidRDefault="00A34677" w:rsidP="00A34677">
      <w:pPr>
        <w:pStyle w:val="ListParagraph"/>
        <w:numPr>
          <w:ilvl w:val="0"/>
          <w:numId w:val="3"/>
        </w:numPr>
        <w:spacing w:after="147" w:line="264" w:lineRule="auto"/>
        <w:ind w:left="720" w:hanging="360"/>
        <w:rPr>
          <w:rFonts w:ascii="Calibri" w:hAnsi="Calibri" w:cs="Calibri"/>
          <w:bCs/>
          <w:sz w:val="24"/>
          <w:szCs w:val="24"/>
        </w:rPr>
      </w:pPr>
      <w:r w:rsidRPr="00974E60">
        <w:rPr>
          <w:rFonts w:ascii="Calibri" w:hAnsi="Calibri" w:cs="Calibri"/>
          <w:bCs/>
          <w:sz w:val="24"/>
          <w:szCs w:val="24"/>
        </w:rPr>
        <w:t xml:space="preserve">Unlike other CHCs, these CHCs </w:t>
      </w:r>
      <w:r w:rsidR="00E243D6" w:rsidRPr="00974E60">
        <w:rPr>
          <w:rFonts w:ascii="Calibri" w:hAnsi="Calibri" w:cs="Calibri"/>
          <w:bCs/>
          <w:sz w:val="24"/>
          <w:szCs w:val="24"/>
        </w:rPr>
        <w:t>affiliated with a hospital or with over $1 billion in annual revenues</w:t>
      </w:r>
      <w:r w:rsidR="00E243D6" w:rsidRPr="00974E60">
        <w:rPr>
          <w:rFonts w:ascii="Calibri" w:hAnsi="Calibri" w:cs="Calibri"/>
          <w:bCs/>
          <w:sz w:val="24"/>
          <w:szCs w:val="24"/>
        </w:rPr>
        <w:t xml:space="preserve"> </w:t>
      </w:r>
      <w:r w:rsidRPr="00974E60">
        <w:rPr>
          <w:rFonts w:ascii="Calibri" w:hAnsi="Calibri" w:cs="Calibri"/>
          <w:bCs/>
          <w:sz w:val="24"/>
          <w:szCs w:val="24"/>
        </w:rPr>
        <w:t xml:space="preserve">are not permitted to use 340B drugs for any referral prescriptions or for mail-order pharmacies.  </w:t>
      </w:r>
    </w:p>
    <w:p w14:paraId="5FA7B4A2" w14:textId="060C137B" w:rsidR="00A34677" w:rsidRDefault="00A34677" w:rsidP="00A34677">
      <w:pPr>
        <w:pStyle w:val="ListParagraph"/>
        <w:numPr>
          <w:ilvl w:val="0"/>
          <w:numId w:val="3"/>
        </w:numPr>
        <w:spacing w:after="147" w:line="264" w:lineRule="auto"/>
        <w:ind w:left="720" w:hanging="360"/>
        <w:rPr>
          <w:rFonts w:ascii="Calibri" w:hAnsi="Calibri" w:cs="Calibri"/>
          <w:bCs/>
          <w:sz w:val="24"/>
          <w:szCs w:val="24"/>
        </w:rPr>
      </w:pPr>
      <w:r w:rsidRPr="00974E60">
        <w:rPr>
          <w:rFonts w:ascii="Calibri" w:hAnsi="Calibri" w:cs="Calibri"/>
          <w:bCs/>
          <w:sz w:val="24"/>
          <w:szCs w:val="24"/>
        </w:rPr>
        <w:t xml:space="preserve">Also, any off-site pharmacies they own will only be 340B-eligible if they fall within the 4 PUMAs allowed as their ASAP-designated service area.  </w:t>
      </w:r>
    </w:p>
    <w:p w14:paraId="0B7CFAAA" w14:textId="1A602829" w:rsidR="0054721C" w:rsidRPr="005B4E84" w:rsidRDefault="0054721C" w:rsidP="0054721C">
      <w:pPr>
        <w:spacing w:after="147" w:line="264" w:lineRule="auto"/>
        <w:rPr>
          <w:rFonts w:ascii="Calibri" w:hAnsi="Calibri" w:cs="Calibri"/>
          <w:b/>
          <w:sz w:val="24"/>
          <w:szCs w:val="24"/>
        </w:rPr>
      </w:pPr>
      <w:r w:rsidRPr="005B4E84">
        <w:rPr>
          <w:rFonts w:ascii="Calibri" w:hAnsi="Calibri" w:cs="Calibri"/>
          <w:b/>
          <w:sz w:val="24"/>
          <w:szCs w:val="24"/>
        </w:rPr>
        <w:t xml:space="preserve">These limitations are arbitrary and offer no additional </w:t>
      </w:r>
      <w:r w:rsidR="005B4E84" w:rsidRPr="005B4E84">
        <w:rPr>
          <w:rFonts w:ascii="Calibri" w:hAnsi="Calibri" w:cs="Calibri"/>
          <w:b/>
          <w:sz w:val="24"/>
          <w:szCs w:val="24"/>
        </w:rPr>
        <w:t xml:space="preserve">transparency or protections to taxpayers. </w:t>
      </w:r>
    </w:p>
    <w:p w14:paraId="2343FADC" w14:textId="0F784857" w:rsidR="00974E60" w:rsidRPr="00974E60" w:rsidRDefault="00974E60" w:rsidP="00974E60">
      <w:pPr>
        <w:spacing w:after="3" w:line="264" w:lineRule="auto"/>
        <w:rPr>
          <w:rFonts w:ascii="Calibri" w:hAnsi="Calibri" w:cs="Calibri"/>
          <w:sz w:val="24"/>
          <w:szCs w:val="24"/>
          <w:u w:val="single"/>
        </w:rPr>
      </w:pPr>
      <w:r w:rsidRPr="00974E60">
        <w:rPr>
          <w:rFonts w:ascii="Calibri" w:hAnsi="Calibri" w:cs="Calibri"/>
          <w:sz w:val="24"/>
          <w:szCs w:val="24"/>
          <w:u w:val="single"/>
        </w:rPr>
        <w:t>Requirements for Non</w:t>
      </w:r>
      <w:r w:rsidRPr="00974E60">
        <w:rPr>
          <w:rFonts w:ascii="Calibri" w:hAnsi="Calibri" w:cs="Calibri"/>
          <w:sz w:val="24"/>
          <w:szCs w:val="24"/>
          <w:u w:val="single"/>
        </w:rPr>
        <w:t>-</w:t>
      </w:r>
      <w:r w:rsidRPr="00974E60">
        <w:rPr>
          <w:rFonts w:ascii="Calibri" w:hAnsi="Calibri" w:cs="Calibri"/>
          <w:sz w:val="24"/>
          <w:szCs w:val="24"/>
          <w:u w:val="single"/>
        </w:rPr>
        <w:t xml:space="preserve">Hospital Covered Entities </w:t>
      </w:r>
    </w:p>
    <w:p w14:paraId="01FB8498" w14:textId="191FB4C3" w:rsidR="00974E60" w:rsidRPr="00974E60" w:rsidRDefault="00974E60" w:rsidP="00974E60">
      <w:pPr>
        <w:pStyle w:val="ListParagraph"/>
        <w:numPr>
          <w:ilvl w:val="0"/>
          <w:numId w:val="7"/>
        </w:numPr>
        <w:spacing w:after="3" w:line="264" w:lineRule="auto"/>
        <w:rPr>
          <w:rFonts w:ascii="Calibri" w:hAnsi="Calibri" w:cs="Calibri"/>
          <w:sz w:val="24"/>
          <w:szCs w:val="24"/>
        </w:rPr>
      </w:pPr>
      <w:r w:rsidRPr="00974E60">
        <w:rPr>
          <w:rFonts w:ascii="Calibri" w:hAnsi="Calibri" w:cs="Calibri"/>
          <w:sz w:val="24"/>
          <w:szCs w:val="24"/>
        </w:rPr>
        <w:t xml:space="preserve">New requirements firming up contracts, oversight of subgrantees </w:t>
      </w:r>
    </w:p>
    <w:p w14:paraId="72E76794" w14:textId="77777777" w:rsidR="00974E60" w:rsidRDefault="00974E60" w:rsidP="00974E60">
      <w:pPr>
        <w:spacing w:after="3" w:line="264" w:lineRule="auto"/>
        <w:rPr>
          <w:rFonts w:ascii="Calibri" w:hAnsi="Calibri" w:cs="Calibri"/>
          <w:sz w:val="24"/>
          <w:szCs w:val="24"/>
        </w:rPr>
      </w:pPr>
    </w:p>
    <w:p w14:paraId="2947E2E1" w14:textId="640AFDEA" w:rsidR="005B4E84" w:rsidRPr="005B4E84" w:rsidRDefault="005B4E84" w:rsidP="00974E60">
      <w:pPr>
        <w:spacing w:after="3" w:line="264" w:lineRule="auto"/>
        <w:rPr>
          <w:rFonts w:ascii="Calibri" w:hAnsi="Calibri" w:cs="Calibri"/>
          <w:b/>
          <w:bCs/>
          <w:sz w:val="24"/>
          <w:szCs w:val="24"/>
        </w:rPr>
      </w:pPr>
      <w:r w:rsidRPr="005B4E84">
        <w:rPr>
          <w:rFonts w:ascii="Calibri" w:hAnsi="Calibri" w:cs="Calibri"/>
          <w:b/>
          <w:bCs/>
          <w:sz w:val="24"/>
          <w:szCs w:val="24"/>
        </w:rPr>
        <w:t xml:space="preserve">We do not have objections to </w:t>
      </w:r>
      <w:r w:rsidR="00286B54">
        <w:rPr>
          <w:rFonts w:ascii="Calibri" w:hAnsi="Calibri" w:cs="Calibri"/>
          <w:b/>
          <w:bCs/>
          <w:sz w:val="24"/>
          <w:szCs w:val="24"/>
        </w:rPr>
        <w:t>reasonable</w:t>
      </w:r>
      <w:r w:rsidRPr="005B4E84">
        <w:rPr>
          <w:rFonts w:ascii="Calibri" w:hAnsi="Calibri" w:cs="Calibri"/>
          <w:b/>
          <w:bCs/>
          <w:sz w:val="24"/>
          <w:szCs w:val="24"/>
        </w:rPr>
        <w:t xml:space="preserve"> reporting requirements or clarifications on who is using the 340B program. </w:t>
      </w:r>
    </w:p>
    <w:p w14:paraId="0932F399" w14:textId="77777777" w:rsidR="005B4E84" w:rsidRPr="00974E60" w:rsidRDefault="005B4E84" w:rsidP="00974E60">
      <w:pPr>
        <w:spacing w:after="3" w:line="264" w:lineRule="auto"/>
        <w:rPr>
          <w:rFonts w:ascii="Calibri" w:hAnsi="Calibri" w:cs="Calibri"/>
          <w:sz w:val="24"/>
          <w:szCs w:val="24"/>
        </w:rPr>
      </w:pPr>
    </w:p>
    <w:p w14:paraId="291A7750" w14:textId="77777777" w:rsidR="00974E60" w:rsidRPr="00974E60" w:rsidRDefault="00974E60" w:rsidP="00974E60">
      <w:pPr>
        <w:spacing w:after="3" w:line="264" w:lineRule="auto"/>
        <w:rPr>
          <w:rFonts w:ascii="Calibri" w:hAnsi="Calibri" w:cs="Calibri"/>
          <w:sz w:val="24"/>
          <w:szCs w:val="24"/>
          <w:u w:val="single"/>
        </w:rPr>
      </w:pPr>
      <w:r w:rsidRPr="00974E60">
        <w:rPr>
          <w:rFonts w:ascii="Calibri" w:hAnsi="Calibri" w:cs="Calibri"/>
          <w:sz w:val="24"/>
          <w:szCs w:val="24"/>
          <w:u w:val="single"/>
        </w:rPr>
        <w:t xml:space="preserve">Claims Modifiers </w:t>
      </w:r>
    </w:p>
    <w:p w14:paraId="77600576" w14:textId="450A5F57" w:rsidR="00974E60" w:rsidRDefault="00974E60" w:rsidP="00974E60">
      <w:pPr>
        <w:pStyle w:val="ListParagraph"/>
        <w:numPr>
          <w:ilvl w:val="0"/>
          <w:numId w:val="7"/>
        </w:numPr>
        <w:spacing w:after="3" w:line="264" w:lineRule="auto"/>
        <w:rPr>
          <w:rFonts w:ascii="Calibri" w:hAnsi="Calibri" w:cs="Calibri"/>
          <w:sz w:val="24"/>
          <w:szCs w:val="24"/>
        </w:rPr>
      </w:pPr>
      <w:r w:rsidRPr="00974E60">
        <w:rPr>
          <w:rFonts w:ascii="Calibri" w:hAnsi="Calibri" w:cs="Calibri"/>
          <w:sz w:val="24"/>
          <w:szCs w:val="24"/>
        </w:rPr>
        <w:t xml:space="preserve">All claims submitted by any in-house or contract pharmacy to any payor must include a modifier, indicating whether the prescription was filled a 340B drug or a non-340B drug.  </w:t>
      </w:r>
    </w:p>
    <w:p w14:paraId="66C96C1D" w14:textId="7AB2980F" w:rsidR="005B4E84" w:rsidRPr="005B4E84" w:rsidRDefault="005B4E84" w:rsidP="005B4E84">
      <w:pPr>
        <w:spacing w:after="3" w:line="264" w:lineRule="auto"/>
        <w:rPr>
          <w:rFonts w:ascii="Calibri" w:hAnsi="Calibri" w:cs="Calibri"/>
          <w:sz w:val="24"/>
          <w:szCs w:val="24"/>
        </w:rPr>
      </w:pPr>
    </w:p>
    <w:p w14:paraId="5FD899C3" w14:textId="5A5A9D27" w:rsidR="005B4E84" w:rsidRPr="005B4E84" w:rsidRDefault="005B4E84" w:rsidP="005B4E84">
      <w:pPr>
        <w:spacing w:after="3" w:line="264" w:lineRule="auto"/>
        <w:rPr>
          <w:rFonts w:ascii="Calibri" w:hAnsi="Calibri" w:cs="Calibri"/>
          <w:b/>
          <w:bCs/>
          <w:sz w:val="24"/>
          <w:szCs w:val="24"/>
        </w:rPr>
      </w:pPr>
      <w:r w:rsidRPr="005B4E84">
        <w:rPr>
          <w:rFonts w:ascii="Calibri" w:hAnsi="Calibri" w:cs="Calibri"/>
          <w:b/>
          <w:bCs/>
          <w:sz w:val="24"/>
          <w:szCs w:val="24"/>
        </w:rPr>
        <w:t xml:space="preserve">We do not have objections to additional reporting requirements </w:t>
      </w:r>
      <w:r w:rsidR="00286B54">
        <w:rPr>
          <w:rFonts w:ascii="Calibri" w:hAnsi="Calibri" w:cs="Calibri"/>
          <w:b/>
          <w:bCs/>
          <w:sz w:val="24"/>
          <w:szCs w:val="24"/>
        </w:rPr>
        <w:t>that prevent duplicate discounts.</w:t>
      </w:r>
    </w:p>
    <w:p w14:paraId="164B6077" w14:textId="77777777" w:rsidR="00974E60" w:rsidRPr="00974E60" w:rsidRDefault="00974E60" w:rsidP="00974E60">
      <w:pPr>
        <w:spacing w:after="3" w:line="264" w:lineRule="auto"/>
        <w:rPr>
          <w:rFonts w:ascii="Calibri" w:hAnsi="Calibri" w:cs="Calibri"/>
          <w:sz w:val="24"/>
          <w:szCs w:val="24"/>
        </w:rPr>
      </w:pPr>
    </w:p>
    <w:p w14:paraId="39BE8910" w14:textId="77777777" w:rsidR="00974E60" w:rsidRPr="00974E60" w:rsidRDefault="00974E60" w:rsidP="00974E60">
      <w:pPr>
        <w:spacing w:after="3" w:line="264" w:lineRule="auto"/>
        <w:rPr>
          <w:rFonts w:ascii="Calibri" w:hAnsi="Calibri" w:cs="Calibri"/>
          <w:sz w:val="24"/>
          <w:szCs w:val="24"/>
          <w:u w:val="single"/>
        </w:rPr>
      </w:pPr>
      <w:r w:rsidRPr="00974E60">
        <w:rPr>
          <w:rFonts w:ascii="Calibri" w:hAnsi="Calibri" w:cs="Calibri"/>
          <w:sz w:val="24"/>
          <w:szCs w:val="24"/>
          <w:u w:val="single"/>
        </w:rPr>
        <w:t xml:space="preserve">Covered Entity Requirements </w:t>
      </w:r>
    </w:p>
    <w:p w14:paraId="5D9CF4C4" w14:textId="5198D0BD" w:rsidR="00974E60" w:rsidRPr="00974E60" w:rsidRDefault="00974E60" w:rsidP="00974E60">
      <w:pPr>
        <w:pStyle w:val="ListParagraph"/>
        <w:numPr>
          <w:ilvl w:val="0"/>
          <w:numId w:val="5"/>
        </w:numPr>
        <w:spacing w:after="3" w:line="264" w:lineRule="auto"/>
        <w:rPr>
          <w:rFonts w:ascii="Calibri" w:hAnsi="Calibri" w:cs="Calibri"/>
          <w:sz w:val="24"/>
          <w:szCs w:val="24"/>
        </w:rPr>
      </w:pPr>
      <w:r w:rsidRPr="00974E60">
        <w:rPr>
          <w:rFonts w:ascii="Calibri" w:hAnsi="Calibri" w:cs="Calibri"/>
          <w:sz w:val="24"/>
          <w:szCs w:val="24"/>
        </w:rPr>
        <w:t xml:space="preserve">Annual reporting on the scope of the grant that provides eligibility for 340B </w:t>
      </w:r>
    </w:p>
    <w:p w14:paraId="61737047" w14:textId="4CBFD1F4" w:rsidR="00A34677" w:rsidRDefault="00974E60" w:rsidP="00974E60">
      <w:pPr>
        <w:pStyle w:val="ListParagraph"/>
        <w:numPr>
          <w:ilvl w:val="0"/>
          <w:numId w:val="5"/>
        </w:numPr>
        <w:spacing w:after="3" w:line="264" w:lineRule="auto"/>
        <w:rPr>
          <w:rFonts w:ascii="Calibri" w:hAnsi="Calibri" w:cs="Calibri"/>
          <w:sz w:val="24"/>
          <w:szCs w:val="24"/>
        </w:rPr>
      </w:pPr>
      <w:r w:rsidRPr="00974E60">
        <w:rPr>
          <w:rFonts w:ascii="Calibri" w:hAnsi="Calibri" w:cs="Calibri"/>
          <w:sz w:val="24"/>
          <w:szCs w:val="24"/>
        </w:rPr>
        <w:t xml:space="preserve">Authorizes (but does not require) HHS to impose significant reporting requirements on CHCs, including precise calculation of 340B margin, and breaking down how the CHC spends this margin into 12 different categories (e.g., transportation, language assistance).  </w:t>
      </w:r>
    </w:p>
    <w:p w14:paraId="3D37AE68" w14:textId="77777777" w:rsidR="005B4E84" w:rsidRPr="005B4E84" w:rsidRDefault="005B4E84" w:rsidP="005B4E84">
      <w:pPr>
        <w:pStyle w:val="ListParagraph"/>
        <w:spacing w:after="3" w:line="264" w:lineRule="auto"/>
        <w:rPr>
          <w:rFonts w:ascii="Calibri" w:hAnsi="Calibri" w:cs="Calibri"/>
          <w:sz w:val="24"/>
          <w:szCs w:val="24"/>
        </w:rPr>
      </w:pPr>
    </w:p>
    <w:p w14:paraId="1C2AA207" w14:textId="4BDBB95B" w:rsidR="005B4E84" w:rsidRPr="005B4E84" w:rsidRDefault="005B4E84" w:rsidP="005B4E84">
      <w:pPr>
        <w:spacing w:after="3" w:line="264" w:lineRule="auto"/>
        <w:rPr>
          <w:rFonts w:ascii="Calibri" w:hAnsi="Calibri" w:cs="Calibri"/>
          <w:b/>
          <w:bCs/>
          <w:sz w:val="24"/>
          <w:szCs w:val="24"/>
        </w:rPr>
      </w:pPr>
      <w:r w:rsidRPr="005B4E84">
        <w:rPr>
          <w:rFonts w:ascii="Calibri" w:hAnsi="Calibri" w:cs="Calibri"/>
          <w:b/>
          <w:bCs/>
          <w:sz w:val="24"/>
          <w:szCs w:val="24"/>
        </w:rPr>
        <w:t>We do not have objections to additional reporting requirements</w:t>
      </w:r>
      <w:r w:rsidR="00CC58AE">
        <w:rPr>
          <w:rFonts w:ascii="Calibri" w:hAnsi="Calibri" w:cs="Calibri"/>
          <w:b/>
          <w:bCs/>
          <w:sz w:val="24"/>
          <w:szCs w:val="24"/>
        </w:rPr>
        <w:t xml:space="preserve">, but have a more workable set of proposals for CHC reporting in ACH’s 340C proposal. </w:t>
      </w:r>
    </w:p>
    <w:p w14:paraId="78AEA37D" w14:textId="77777777" w:rsidR="005B4E84" w:rsidRPr="005B4E84" w:rsidRDefault="005B4E84" w:rsidP="005B4E84">
      <w:pPr>
        <w:spacing w:after="3" w:line="264" w:lineRule="auto"/>
        <w:rPr>
          <w:rFonts w:ascii="Calibri" w:hAnsi="Calibri" w:cs="Calibri"/>
          <w:sz w:val="24"/>
          <w:szCs w:val="24"/>
        </w:rPr>
      </w:pPr>
    </w:p>
    <w:p w14:paraId="0FB1822A" w14:textId="6BB3C19B" w:rsidR="00A34677" w:rsidRPr="00974E60" w:rsidRDefault="00A34677" w:rsidP="00A34677">
      <w:pPr>
        <w:pStyle w:val="ListParagraph"/>
        <w:rPr>
          <w:rFonts w:ascii="Calibri" w:hAnsi="Calibri" w:cs="Calibri"/>
          <w:sz w:val="24"/>
          <w:szCs w:val="24"/>
        </w:rPr>
      </w:pPr>
    </w:p>
    <w:sectPr w:rsidR="00A34677" w:rsidRPr="00974E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07B78" w14:textId="77777777" w:rsidR="00CB3DB4" w:rsidRDefault="00CB3DB4" w:rsidP="006131B8">
      <w:pPr>
        <w:spacing w:after="0" w:line="240" w:lineRule="auto"/>
      </w:pPr>
      <w:r>
        <w:separator/>
      </w:r>
    </w:p>
  </w:endnote>
  <w:endnote w:type="continuationSeparator" w:id="0">
    <w:p w14:paraId="51E3C02A" w14:textId="77777777" w:rsidR="00CB3DB4" w:rsidRDefault="00CB3DB4" w:rsidP="0061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716BA" w14:textId="77777777" w:rsidR="00CB3DB4" w:rsidRDefault="00CB3DB4" w:rsidP="006131B8">
      <w:pPr>
        <w:spacing w:after="0" w:line="240" w:lineRule="auto"/>
      </w:pPr>
      <w:r>
        <w:separator/>
      </w:r>
    </w:p>
  </w:footnote>
  <w:footnote w:type="continuationSeparator" w:id="0">
    <w:p w14:paraId="4A213139" w14:textId="77777777" w:rsidR="00CB3DB4" w:rsidRDefault="00CB3DB4" w:rsidP="00613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A4675" w14:textId="533F4FCB" w:rsidR="006131B8" w:rsidRDefault="006131B8">
    <w:pPr>
      <w:pStyle w:val="Header"/>
    </w:pPr>
    <w:r>
      <w:t>Draft – May 28,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F7CE0"/>
    <w:multiLevelType w:val="hybridMultilevel"/>
    <w:tmpl w:val="07B0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4187B"/>
    <w:multiLevelType w:val="hybridMultilevel"/>
    <w:tmpl w:val="A202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9080A"/>
    <w:multiLevelType w:val="hybridMultilevel"/>
    <w:tmpl w:val="2B0A7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61320"/>
    <w:multiLevelType w:val="hybridMultilevel"/>
    <w:tmpl w:val="C13A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D0E8E"/>
    <w:multiLevelType w:val="hybridMultilevel"/>
    <w:tmpl w:val="541AFEE8"/>
    <w:lvl w:ilvl="0" w:tplc="04090001">
      <w:start w:val="1"/>
      <w:numFmt w:val="bullet"/>
      <w:lvlText w:val=""/>
      <w:lvlJc w:val="left"/>
      <w:pPr>
        <w:ind w:left="720" w:hanging="360"/>
      </w:pPr>
      <w:rPr>
        <w:rFonts w:ascii="Symbol" w:hAnsi="Symbol" w:hint="default"/>
      </w:rPr>
    </w:lvl>
    <w:lvl w:ilvl="1" w:tplc="BA167414">
      <w:start w:val="21"/>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62625"/>
    <w:multiLevelType w:val="hybridMultilevel"/>
    <w:tmpl w:val="6B7A82E2"/>
    <w:lvl w:ilvl="0" w:tplc="04090001">
      <w:start w:val="1"/>
      <w:numFmt w:val="bullet"/>
      <w:lvlText w:val=""/>
      <w:lvlJc w:val="left"/>
      <w:pPr>
        <w:ind w:left="705" w:firstLine="0"/>
      </w:pPr>
      <w:rPr>
        <w:rFonts w:ascii="Symbol" w:hAnsi="Symbol" w:hint="default"/>
        <w:b w:val="0"/>
        <w:i w:val="0"/>
        <w:strike w:val="0"/>
        <w:dstrike w:val="0"/>
        <w:color w:val="181717"/>
        <w:sz w:val="22"/>
        <w:szCs w:val="22"/>
        <w:u w:val="none" w:color="000000"/>
        <w:effect w:val="none"/>
        <w:bdr w:val="none" w:sz="0" w:space="0" w:color="auto" w:frame="1"/>
        <w:vertAlign w:val="baseline"/>
      </w:rPr>
    </w:lvl>
    <w:lvl w:ilvl="1" w:tplc="2B0CC5FE">
      <w:start w:val="1"/>
      <w:numFmt w:val="bullet"/>
      <w:lvlText w:val="o"/>
      <w:lvlJc w:val="left"/>
      <w:pPr>
        <w:ind w:left="1440" w:firstLine="0"/>
      </w:pPr>
      <w:rPr>
        <w:rFonts w:ascii="Courier New" w:eastAsia="Courier New" w:hAnsi="Courier New" w:cs="Courier New"/>
        <w:b w:val="0"/>
        <w:i w:val="0"/>
        <w:strike w:val="0"/>
        <w:dstrike w:val="0"/>
        <w:color w:val="181717"/>
        <w:sz w:val="22"/>
        <w:szCs w:val="22"/>
        <w:u w:val="none" w:color="000000"/>
        <w:effect w:val="none"/>
        <w:bdr w:val="none" w:sz="0" w:space="0" w:color="auto" w:frame="1"/>
        <w:vertAlign w:val="baseline"/>
      </w:rPr>
    </w:lvl>
    <w:lvl w:ilvl="2" w:tplc="44525330">
      <w:start w:val="1"/>
      <w:numFmt w:val="bullet"/>
      <w:lvlText w:val="▪"/>
      <w:lvlJc w:val="left"/>
      <w:pPr>
        <w:ind w:left="2160" w:firstLine="0"/>
      </w:pPr>
      <w:rPr>
        <w:rFonts w:ascii="Courier New" w:eastAsia="Courier New" w:hAnsi="Courier New" w:cs="Courier New"/>
        <w:b w:val="0"/>
        <w:i w:val="0"/>
        <w:strike w:val="0"/>
        <w:dstrike w:val="0"/>
        <w:color w:val="181717"/>
        <w:sz w:val="22"/>
        <w:szCs w:val="22"/>
        <w:u w:val="none" w:color="000000"/>
        <w:effect w:val="none"/>
        <w:bdr w:val="none" w:sz="0" w:space="0" w:color="auto" w:frame="1"/>
        <w:vertAlign w:val="baseline"/>
      </w:rPr>
    </w:lvl>
    <w:lvl w:ilvl="3" w:tplc="B720D212">
      <w:start w:val="1"/>
      <w:numFmt w:val="bullet"/>
      <w:lvlText w:val="•"/>
      <w:lvlJc w:val="left"/>
      <w:pPr>
        <w:ind w:left="2880" w:firstLine="0"/>
      </w:pPr>
      <w:rPr>
        <w:rFonts w:ascii="Courier New" w:eastAsia="Courier New" w:hAnsi="Courier New" w:cs="Courier New"/>
        <w:b w:val="0"/>
        <w:i w:val="0"/>
        <w:strike w:val="0"/>
        <w:dstrike w:val="0"/>
        <w:color w:val="181717"/>
        <w:sz w:val="22"/>
        <w:szCs w:val="22"/>
        <w:u w:val="none" w:color="000000"/>
        <w:effect w:val="none"/>
        <w:bdr w:val="none" w:sz="0" w:space="0" w:color="auto" w:frame="1"/>
        <w:vertAlign w:val="baseline"/>
      </w:rPr>
    </w:lvl>
    <w:lvl w:ilvl="4" w:tplc="A76C4708">
      <w:start w:val="1"/>
      <w:numFmt w:val="bullet"/>
      <w:lvlText w:val="o"/>
      <w:lvlJc w:val="left"/>
      <w:pPr>
        <w:ind w:left="3600" w:firstLine="0"/>
      </w:pPr>
      <w:rPr>
        <w:rFonts w:ascii="Courier New" w:eastAsia="Courier New" w:hAnsi="Courier New" w:cs="Courier New"/>
        <w:b w:val="0"/>
        <w:i w:val="0"/>
        <w:strike w:val="0"/>
        <w:dstrike w:val="0"/>
        <w:color w:val="181717"/>
        <w:sz w:val="22"/>
        <w:szCs w:val="22"/>
        <w:u w:val="none" w:color="000000"/>
        <w:effect w:val="none"/>
        <w:bdr w:val="none" w:sz="0" w:space="0" w:color="auto" w:frame="1"/>
        <w:vertAlign w:val="baseline"/>
      </w:rPr>
    </w:lvl>
    <w:lvl w:ilvl="5" w:tplc="4D48275E">
      <w:start w:val="1"/>
      <w:numFmt w:val="bullet"/>
      <w:lvlText w:val="▪"/>
      <w:lvlJc w:val="left"/>
      <w:pPr>
        <w:ind w:left="4320" w:firstLine="0"/>
      </w:pPr>
      <w:rPr>
        <w:rFonts w:ascii="Courier New" w:eastAsia="Courier New" w:hAnsi="Courier New" w:cs="Courier New"/>
        <w:b w:val="0"/>
        <w:i w:val="0"/>
        <w:strike w:val="0"/>
        <w:dstrike w:val="0"/>
        <w:color w:val="181717"/>
        <w:sz w:val="22"/>
        <w:szCs w:val="22"/>
        <w:u w:val="none" w:color="000000"/>
        <w:effect w:val="none"/>
        <w:bdr w:val="none" w:sz="0" w:space="0" w:color="auto" w:frame="1"/>
        <w:vertAlign w:val="baseline"/>
      </w:rPr>
    </w:lvl>
    <w:lvl w:ilvl="6" w:tplc="B8E49D90">
      <w:start w:val="1"/>
      <w:numFmt w:val="bullet"/>
      <w:lvlText w:val="•"/>
      <w:lvlJc w:val="left"/>
      <w:pPr>
        <w:ind w:left="5040" w:firstLine="0"/>
      </w:pPr>
      <w:rPr>
        <w:rFonts w:ascii="Courier New" w:eastAsia="Courier New" w:hAnsi="Courier New" w:cs="Courier New"/>
        <w:b w:val="0"/>
        <w:i w:val="0"/>
        <w:strike w:val="0"/>
        <w:dstrike w:val="0"/>
        <w:color w:val="181717"/>
        <w:sz w:val="22"/>
        <w:szCs w:val="22"/>
        <w:u w:val="none" w:color="000000"/>
        <w:effect w:val="none"/>
        <w:bdr w:val="none" w:sz="0" w:space="0" w:color="auto" w:frame="1"/>
        <w:vertAlign w:val="baseline"/>
      </w:rPr>
    </w:lvl>
    <w:lvl w:ilvl="7" w:tplc="2C82EBB0">
      <w:start w:val="1"/>
      <w:numFmt w:val="bullet"/>
      <w:lvlText w:val="o"/>
      <w:lvlJc w:val="left"/>
      <w:pPr>
        <w:ind w:left="5760" w:firstLine="0"/>
      </w:pPr>
      <w:rPr>
        <w:rFonts w:ascii="Courier New" w:eastAsia="Courier New" w:hAnsi="Courier New" w:cs="Courier New"/>
        <w:b w:val="0"/>
        <w:i w:val="0"/>
        <w:strike w:val="0"/>
        <w:dstrike w:val="0"/>
        <w:color w:val="181717"/>
        <w:sz w:val="22"/>
        <w:szCs w:val="22"/>
        <w:u w:val="none" w:color="000000"/>
        <w:effect w:val="none"/>
        <w:bdr w:val="none" w:sz="0" w:space="0" w:color="auto" w:frame="1"/>
        <w:vertAlign w:val="baseline"/>
      </w:rPr>
    </w:lvl>
    <w:lvl w:ilvl="8" w:tplc="5B68211C">
      <w:start w:val="1"/>
      <w:numFmt w:val="bullet"/>
      <w:lvlText w:val="▪"/>
      <w:lvlJc w:val="left"/>
      <w:pPr>
        <w:ind w:left="6480" w:firstLine="0"/>
      </w:pPr>
      <w:rPr>
        <w:rFonts w:ascii="Courier New" w:eastAsia="Courier New" w:hAnsi="Courier New" w:cs="Courier New"/>
        <w:b w:val="0"/>
        <w:i w:val="0"/>
        <w:strike w:val="0"/>
        <w:dstrike w:val="0"/>
        <w:color w:val="181717"/>
        <w:sz w:val="22"/>
        <w:szCs w:val="22"/>
        <w:u w:val="none" w:color="000000"/>
        <w:effect w:val="none"/>
        <w:bdr w:val="none" w:sz="0" w:space="0" w:color="auto" w:frame="1"/>
        <w:vertAlign w:val="baseline"/>
      </w:rPr>
    </w:lvl>
  </w:abstractNum>
  <w:num w:numId="1" w16cid:durableId="575553130">
    <w:abstractNumId w:val="1"/>
  </w:num>
  <w:num w:numId="2" w16cid:durableId="421729079">
    <w:abstractNumId w:val="4"/>
  </w:num>
  <w:num w:numId="3" w16cid:durableId="1739130485">
    <w:abstractNumId w:val="5"/>
  </w:num>
  <w:num w:numId="4" w16cid:durableId="1995524890">
    <w:abstractNumId w:val="3"/>
  </w:num>
  <w:num w:numId="5" w16cid:durableId="71396343">
    <w:abstractNumId w:val="0"/>
  </w:num>
  <w:num w:numId="6" w16cid:durableId="784812441">
    <w:abstractNumId w:val="5"/>
  </w:num>
  <w:num w:numId="7" w16cid:durableId="1189565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77"/>
    <w:rsid w:val="00241682"/>
    <w:rsid w:val="00286B54"/>
    <w:rsid w:val="004A013F"/>
    <w:rsid w:val="0054721C"/>
    <w:rsid w:val="005B4E84"/>
    <w:rsid w:val="006131B8"/>
    <w:rsid w:val="00974E60"/>
    <w:rsid w:val="00A34677"/>
    <w:rsid w:val="00CB3DB4"/>
    <w:rsid w:val="00CC58AE"/>
    <w:rsid w:val="00D972BF"/>
    <w:rsid w:val="00E243D6"/>
    <w:rsid w:val="00E6106D"/>
    <w:rsid w:val="00ED079B"/>
    <w:rsid w:val="00F9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0479"/>
  <w15:chartTrackingRefBased/>
  <w15:docId w15:val="{949EDD32-FE63-4955-82AD-24BD8521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677"/>
    <w:rPr>
      <w:rFonts w:eastAsiaTheme="majorEastAsia" w:cstheme="majorBidi"/>
      <w:color w:val="272727" w:themeColor="text1" w:themeTint="D8"/>
    </w:rPr>
  </w:style>
  <w:style w:type="paragraph" w:styleId="Title">
    <w:name w:val="Title"/>
    <w:basedOn w:val="Normal"/>
    <w:next w:val="Normal"/>
    <w:link w:val="TitleChar"/>
    <w:uiPriority w:val="10"/>
    <w:qFormat/>
    <w:rsid w:val="00A34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677"/>
    <w:pPr>
      <w:spacing w:before="160"/>
      <w:jc w:val="center"/>
    </w:pPr>
    <w:rPr>
      <w:i/>
      <w:iCs/>
      <w:color w:val="404040" w:themeColor="text1" w:themeTint="BF"/>
    </w:rPr>
  </w:style>
  <w:style w:type="character" w:customStyle="1" w:styleId="QuoteChar">
    <w:name w:val="Quote Char"/>
    <w:basedOn w:val="DefaultParagraphFont"/>
    <w:link w:val="Quote"/>
    <w:uiPriority w:val="29"/>
    <w:rsid w:val="00A34677"/>
    <w:rPr>
      <w:i/>
      <w:iCs/>
      <w:color w:val="404040" w:themeColor="text1" w:themeTint="BF"/>
    </w:rPr>
  </w:style>
  <w:style w:type="paragraph" w:styleId="ListParagraph">
    <w:name w:val="List Paragraph"/>
    <w:basedOn w:val="Normal"/>
    <w:uiPriority w:val="34"/>
    <w:qFormat/>
    <w:rsid w:val="00A34677"/>
    <w:pPr>
      <w:ind w:left="720"/>
      <w:contextualSpacing/>
    </w:pPr>
  </w:style>
  <w:style w:type="character" w:styleId="IntenseEmphasis">
    <w:name w:val="Intense Emphasis"/>
    <w:basedOn w:val="DefaultParagraphFont"/>
    <w:uiPriority w:val="21"/>
    <w:qFormat/>
    <w:rsid w:val="00A34677"/>
    <w:rPr>
      <w:i/>
      <w:iCs/>
      <w:color w:val="0F4761" w:themeColor="accent1" w:themeShade="BF"/>
    </w:rPr>
  </w:style>
  <w:style w:type="paragraph" w:styleId="IntenseQuote">
    <w:name w:val="Intense Quote"/>
    <w:basedOn w:val="Normal"/>
    <w:next w:val="Normal"/>
    <w:link w:val="IntenseQuoteChar"/>
    <w:uiPriority w:val="30"/>
    <w:qFormat/>
    <w:rsid w:val="00A34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677"/>
    <w:rPr>
      <w:i/>
      <w:iCs/>
      <w:color w:val="0F4761" w:themeColor="accent1" w:themeShade="BF"/>
    </w:rPr>
  </w:style>
  <w:style w:type="character" w:styleId="IntenseReference">
    <w:name w:val="Intense Reference"/>
    <w:basedOn w:val="DefaultParagraphFont"/>
    <w:uiPriority w:val="32"/>
    <w:qFormat/>
    <w:rsid w:val="00A34677"/>
    <w:rPr>
      <w:b/>
      <w:bCs/>
      <w:smallCaps/>
      <w:color w:val="0F4761" w:themeColor="accent1" w:themeShade="BF"/>
      <w:spacing w:val="5"/>
    </w:rPr>
  </w:style>
  <w:style w:type="character" w:customStyle="1" w:styleId="m-8706867726275688252apple-converted-space">
    <w:name w:val="m_-8706867726275688252apple-converted-space"/>
    <w:basedOn w:val="DefaultParagraphFont"/>
    <w:rsid w:val="00A34677"/>
  </w:style>
  <w:style w:type="paragraph" w:styleId="Header">
    <w:name w:val="header"/>
    <w:basedOn w:val="Normal"/>
    <w:link w:val="HeaderChar"/>
    <w:uiPriority w:val="99"/>
    <w:unhideWhenUsed/>
    <w:rsid w:val="0061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B8"/>
  </w:style>
  <w:style w:type="paragraph" w:styleId="Footer">
    <w:name w:val="footer"/>
    <w:basedOn w:val="Normal"/>
    <w:link w:val="FooterChar"/>
    <w:uiPriority w:val="99"/>
    <w:unhideWhenUsed/>
    <w:rsid w:val="0061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74572">
      <w:bodyDiv w:val="1"/>
      <w:marLeft w:val="0"/>
      <w:marRight w:val="0"/>
      <w:marTop w:val="0"/>
      <w:marBottom w:val="0"/>
      <w:divBdr>
        <w:top w:val="none" w:sz="0" w:space="0" w:color="auto"/>
        <w:left w:val="none" w:sz="0" w:space="0" w:color="auto"/>
        <w:bottom w:val="none" w:sz="0" w:space="0" w:color="auto"/>
        <w:right w:val="none" w:sz="0" w:space="0" w:color="auto"/>
      </w:divBdr>
    </w:div>
    <w:div w:id="528297513">
      <w:bodyDiv w:val="1"/>
      <w:marLeft w:val="0"/>
      <w:marRight w:val="0"/>
      <w:marTop w:val="0"/>
      <w:marBottom w:val="0"/>
      <w:divBdr>
        <w:top w:val="none" w:sz="0" w:space="0" w:color="auto"/>
        <w:left w:val="none" w:sz="0" w:space="0" w:color="auto"/>
        <w:bottom w:val="none" w:sz="0" w:space="0" w:color="auto"/>
        <w:right w:val="none" w:sz="0" w:space="0" w:color="auto"/>
      </w:divBdr>
    </w:div>
    <w:div w:id="1551266665">
      <w:bodyDiv w:val="1"/>
      <w:marLeft w:val="0"/>
      <w:marRight w:val="0"/>
      <w:marTop w:val="0"/>
      <w:marBottom w:val="0"/>
      <w:divBdr>
        <w:top w:val="none" w:sz="0" w:space="0" w:color="auto"/>
        <w:left w:val="none" w:sz="0" w:space="0" w:color="auto"/>
        <w:bottom w:val="none" w:sz="0" w:space="0" w:color="auto"/>
        <w:right w:val="none" w:sz="0" w:space="0" w:color="auto"/>
      </w:divBdr>
    </w:div>
    <w:div w:id="208320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9</cp:revision>
  <dcterms:created xsi:type="dcterms:W3CDTF">2024-05-28T20:51:00Z</dcterms:created>
  <dcterms:modified xsi:type="dcterms:W3CDTF">2024-05-28T21:23:00Z</dcterms:modified>
</cp:coreProperties>
</file>